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WHMIS regulations as outlined in </w:t>
      </w: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i w:val="1"/>
          <w:highlight w:val="white"/>
          <w:rtl w:val="0"/>
        </w:rPr>
        <w:t xml:space="preserve">Canada Occupational Health and Safety Regulations</w:t>
      </w:r>
      <w:r w:rsidDel="00000000" w:rsidR="00000000" w:rsidRPr="00000000">
        <w:rPr>
          <w:rFonts w:ascii="Calibri" w:cs="Calibri" w:eastAsia="Calibri" w:hAnsi="Calibri"/>
          <w:highlight w:val="white"/>
          <w:rtl w:val="0"/>
        </w:rPr>
        <w:t xml:space="preserve">, and the Canadian Centre for Occupational Health and Safety (CCOHS).</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JUvpsj2LbgHGrVR//dqYuDMpw==">CgMxLjA4AHIhMXJfZ0tEOWV0SVlKNWZ5dmlJbWJVZVR5VlY5MG85ODVt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2022-06-08T17:40:00Z</dcterms:created>
  <dc:creator>Kelly</dc:creator>
</cp:coreProperties>
</file>